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2CA4" w14:textId="188C69ED" w:rsidR="00C25770" w:rsidRPr="00C53557" w:rsidRDefault="00C25770" w:rsidP="00C25770">
      <w:pPr>
        <w:pStyle w:val="Default"/>
        <w:rPr>
          <w:b/>
          <w:bCs/>
          <w:i/>
          <w:iCs/>
          <w:sz w:val="28"/>
          <w:szCs w:val="28"/>
          <w:u w:val="single"/>
        </w:rPr>
      </w:pPr>
      <w:r w:rsidRPr="00C53557">
        <w:rPr>
          <w:b/>
          <w:bCs/>
          <w:i/>
          <w:iCs/>
          <w:sz w:val="28"/>
          <w:szCs w:val="28"/>
          <w:u w:val="single"/>
        </w:rPr>
        <w:t xml:space="preserve">Všeobecné podmínky pro účast na akcích cestovní </w:t>
      </w:r>
      <w:r>
        <w:rPr>
          <w:b/>
          <w:bCs/>
          <w:i/>
          <w:iCs/>
          <w:sz w:val="28"/>
          <w:szCs w:val="28"/>
          <w:u w:val="single"/>
        </w:rPr>
        <w:t>kanceláře</w:t>
      </w:r>
      <w:r w:rsidRPr="00C53557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C53557">
        <w:rPr>
          <w:b/>
          <w:bCs/>
          <w:i/>
          <w:iCs/>
          <w:sz w:val="28"/>
          <w:szCs w:val="28"/>
          <w:u w:val="single"/>
        </w:rPr>
        <w:t>Hakar</w:t>
      </w:r>
      <w:proofErr w:type="spellEnd"/>
      <w:r w:rsidRPr="00C53557">
        <w:rPr>
          <w:b/>
          <w:bCs/>
          <w:i/>
          <w:iCs/>
          <w:sz w:val="28"/>
          <w:szCs w:val="28"/>
          <w:u w:val="single"/>
        </w:rPr>
        <w:t xml:space="preserve"> tour</w:t>
      </w:r>
      <w:r w:rsidR="00ED5987">
        <w:rPr>
          <w:b/>
          <w:bCs/>
          <w:i/>
          <w:iCs/>
          <w:sz w:val="28"/>
          <w:szCs w:val="28"/>
          <w:u w:val="single"/>
        </w:rPr>
        <w:t xml:space="preserve"> s.r.o.</w:t>
      </w:r>
    </w:p>
    <w:p w14:paraId="10B47EC6" w14:textId="77777777" w:rsidR="00C25770" w:rsidRDefault="00C25770" w:rsidP="00C25770">
      <w:pPr>
        <w:pStyle w:val="Default"/>
        <w:rPr>
          <w:sz w:val="22"/>
          <w:szCs w:val="22"/>
        </w:rPr>
      </w:pPr>
    </w:p>
    <w:p w14:paraId="77703AAF" w14:textId="77777777" w:rsidR="00C25770" w:rsidRDefault="00C25770" w:rsidP="00C25770">
      <w:pPr>
        <w:pStyle w:val="Default"/>
        <w:rPr>
          <w:sz w:val="22"/>
          <w:szCs w:val="22"/>
        </w:rPr>
      </w:pPr>
    </w:p>
    <w:p w14:paraId="278833BA" w14:textId="06150A2A" w:rsidR="00C25770" w:rsidRDefault="00C25770" w:rsidP="00C25770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(</w:t>
      </w:r>
      <w:r w:rsidRPr="005A66A4">
        <w:rPr>
          <w:i/>
          <w:iCs/>
          <w:sz w:val="22"/>
          <w:szCs w:val="22"/>
        </w:rPr>
        <w:t>dále jen „C</w:t>
      </w:r>
      <w:r w:rsidR="00FD7F00"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“) dle </w:t>
      </w:r>
      <w:proofErr w:type="spellStart"/>
      <w:r w:rsidRPr="005A66A4">
        <w:rPr>
          <w:i/>
          <w:iCs/>
          <w:sz w:val="22"/>
          <w:szCs w:val="22"/>
        </w:rPr>
        <w:t>z.č</w:t>
      </w:r>
      <w:proofErr w:type="spellEnd"/>
      <w:r w:rsidRPr="005A66A4">
        <w:rPr>
          <w:i/>
          <w:iCs/>
          <w:sz w:val="22"/>
          <w:szCs w:val="22"/>
        </w:rPr>
        <w:t xml:space="preserve">. 89/2012 Sb., občanský zákoník, ve znění pozdějších předpisů (dále jen „OZ“) a </w:t>
      </w:r>
      <w:proofErr w:type="spellStart"/>
      <w:r w:rsidRPr="005A66A4">
        <w:rPr>
          <w:i/>
          <w:iCs/>
          <w:sz w:val="22"/>
          <w:szCs w:val="22"/>
        </w:rPr>
        <w:t>z.č</w:t>
      </w:r>
      <w:proofErr w:type="spellEnd"/>
      <w:r w:rsidRPr="005A66A4">
        <w:rPr>
          <w:i/>
          <w:iCs/>
          <w:sz w:val="22"/>
          <w:szCs w:val="22"/>
        </w:rPr>
        <w:t xml:space="preserve">. 159/1999 Sb., o některých podmínkách podnikání a o výkonu některých činností v oblasti cestovního ruchu ve znění pozdějších předpisů (dále jen „z. o cestovním ruchu“). Tyto všeobecné smluvní podmínky (dále jen „VSP“) jsou nedílnou součástí objednávky služeb, která upravuje vztah mezi zákazníkem a cestovní agenturou. PŘEDSMLUVNÍ INFORMACE: Údaje v tištěném či elektronickém katalogu </w:t>
      </w:r>
      <w:proofErr w:type="gramStart"/>
      <w:r w:rsidRPr="005A66A4">
        <w:rPr>
          <w:i/>
          <w:iCs/>
          <w:sz w:val="22"/>
          <w:szCs w:val="22"/>
        </w:rPr>
        <w:t>slouží</w:t>
      </w:r>
      <w:proofErr w:type="gramEnd"/>
      <w:r w:rsidRPr="005A66A4">
        <w:rPr>
          <w:i/>
          <w:iCs/>
          <w:sz w:val="22"/>
          <w:szCs w:val="22"/>
        </w:rPr>
        <w:t xml:space="preserve"> jako předsmluvní informace (hlavní náležitosti služeb) ve smyslu zákona 159/99 Sb. a po potvrzení objednávky se stávají její nedílnou součástí. </w:t>
      </w:r>
    </w:p>
    <w:p w14:paraId="54D5998F" w14:textId="77777777" w:rsidR="00C31D75" w:rsidRDefault="00C31D75" w:rsidP="00C25770">
      <w:pPr>
        <w:pStyle w:val="Default"/>
        <w:jc w:val="both"/>
        <w:rPr>
          <w:i/>
          <w:iCs/>
          <w:sz w:val="22"/>
          <w:szCs w:val="22"/>
        </w:rPr>
      </w:pPr>
    </w:p>
    <w:p w14:paraId="6E36B8A8" w14:textId="77777777" w:rsidR="000115B4" w:rsidRPr="005A66A4" w:rsidRDefault="000115B4" w:rsidP="000115B4">
      <w:pPr>
        <w:pStyle w:val="Default"/>
        <w:rPr>
          <w:i/>
          <w:iCs/>
          <w:sz w:val="22"/>
          <w:szCs w:val="22"/>
        </w:rPr>
      </w:pPr>
      <w:r w:rsidRPr="005A66A4">
        <w:rPr>
          <w:b/>
          <w:bCs/>
          <w:i/>
          <w:iCs/>
          <w:sz w:val="22"/>
          <w:szCs w:val="22"/>
        </w:rPr>
        <w:t xml:space="preserve">ZRUŠENÍ </w:t>
      </w:r>
      <w:r>
        <w:rPr>
          <w:b/>
          <w:bCs/>
          <w:i/>
          <w:iCs/>
          <w:sz w:val="22"/>
          <w:szCs w:val="22"/>
        </w:rPr>
        <w:t>AKCE</w:t>
      </w:r>
      <w:r w:rsidRPr="005A66A4">
        <w:rPr>
          <w:b/>
          <w:bCs/>
          <w:i/>
          <w:iCs/>
          <w:sz w:val="22"/>
          <w:szCs w:val="22"/>
        </w:rPr>
        <w:t xml:space="preserve"> </w:t>
      </w:r>
    </w:p>
    <w:p w14:paraId="4457054F" w14:textId="661721F8" w:rsidR="000115B4" w:rsidRPr="005A66A4" w:rsidRDefault="000115B4" w:rsidP="000115B4">
      <w:pPr>
        <w:pStyle w:val="Default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 xml:space="preserve">Realizace služby z katalogu </w:t>
      </w:r>
      <w:r>
        <w:rPr>
          <w:i/>
          <w:iCs/>
          <w:sz w:val="22"/>
          <w:szCs w:val="22"/>
        </w:rPr>
        <w:t xml:space="preserve">na </w:t>
      </w:r>
      <w:r w:rsidR="0028121C">
        <w:rPr>
          <w:i/>
          <w:iCs/>
          <w:sz w:val="22"/>
          <w:szCs w:val="22"/>
        </w:rPr>
        <w:t xml:space="preserve">webu </w:t>
      </w:r>
      <w:hyperlink r:id="rId4" w:history="1">
        <w:r w:rsidR="0028121C" w:rsidRPr="00BE55F5">
          <w:rPr>
            <w:rStyle w:val="Hypertextovodkaz"/>
            <w:i/>
            <w:iCs/>
            <w:sz w:val="22"/>
            <w:szCs w:val="22"/>
          </w:rPr>
          <w:t>www.hakartour.cz</w:t>
        </w:r>
      </w:hyperlink>
      <w:r w:rsidR="0028121C">
        <w:rPr>
          <w:i/>
          <w:iCs/>
          <w:sz w:val="22"/>
          <w:szCs w:val="22"/>
        </w:rPr>
        <w:t xml:space="preserve"> </w:t>
      </w:r>
      <w:r w:rsidR="00FF49F4">
        <w:rPr>
          <w:i/>
          <w:iCs/>
          <w:sz w:val="22"/>
          <w:szCs w:val="22"/>
        </w:rPr>
        <w:t xml:space="preserve"> </w:t>
      </w:r>
      <w:r w:rsidRPr="005A66A4">
        <w:rPr>
          <w:i/>
          <w:iCs/>
          <w:sz w:val="22"/>
          <w:szCs w:val="22"/>
        </w:rPr>
        <w:t xml:space="preserve">je podmíněna dosažením minimálního počtu 20 zákazníků. </w:t>
      </w:r>
    </w:p>
    <w:p w14:paraId="59738057" w14:textId="67FBD324" w:rsidR="000115B4" w:rsidRPr="005A66A4" w:rsidRDefault="000115B4" w:rsidP="000115B4">
      <w:pPr>
        <w:pStyle w:val="Default"/>
        <w:jc w:val="both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>C</w:t>
      </w:r>
      <w:r w:rsidR="00FF49F4"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je povinna informovat písemně</w:t>
      </w:r>
      <w:r w:rsidR="00FF49F4">
        <w:rPr>
          <w:i/>
          <w:iCs/>
          <w:sz w:val="22"/>
          <w:szCs w:val="22"/>
        </w:rPr>
        <w:t xml:space="preserve"> nebo emailem</w:t>
      </w:r>
      <w:r w:rsidRPr="005A66A4">
        <w:rPr>
          <w:i/>
          <w:iCs/>
          <w:sz w:val="22"/>
          <w:szCs w:val="22"/>
        </w:rPr>
        <w:t xml:space="preserve"> zákazníka o zrušení služby z důvodu nedosažení minimálního počtu zákazníků nejpozději 21 před zahájením služby v případě cest trvajících déle než 4 dny a 7 dní v případě cest trvajících 1-3 dny. </w:t>
      </w:r>
    </w:p>
    <w:p w14:paraId="3F0F5EE0" w14:textId="6305AA18" w:rsidR="000115B4" w:rsidRDefault="000115B4" w:rsidP="000115B4">
      <w:pPr>
        <w:pStyle w:val="Default"/>
        <w:jc w:val="both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>C</w:t>
      </w:r>
      <w:r w:rsidR="00D42217"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má právo na zrušení služby v důsledku neodvratitelné a mimořádné události kdykoli před odjezdem. Zrušení služby oznámí zákazníkovi bez zbytečného odkladu ještě před zahájením. V tomto případě C</w:t>
      </w:r>
      <w:r w:rsidR="00D42217"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vrací zákazníkům veškeré uhrazené platby. </w:t>
      </w:r>
    </w:p>
    <w:p w14:paraId="7428A68E" w14:textId="77777777" w:rsidR="00240916" w:rsidRDefault="00240916" w:rsidP="000115B4">
      <w:pPr>
        <w:pStyle w:val="Default"/>
        <w:jc w:val="both"/>
        <w:rPr>
          <w:i/>
          <w:iCs/>
          <w:sz w:val="22"/>
          <w:szCs w:val="22"/>
        </w:rPr>
      </w:pPr>
    </w:p>
    <w:p w14:paraId="118C807B" w14:textId="77777777" w:rsidR="00240916" w:rsidRPr="005A66A4" w:rsidRDefault="00240916" w:rsidP="00240916">
      <w:pPr>
        <w:pStyle w:val="Default"/>
        <w:rPr>
          <w:i/>
          <w:iCs/>
          <w:sz w:val="22"/>
          <w:szCs w:val="22"/>
        </w:rPr>
      </w:pPr>
      <w:r w:rsidRPr="005A66A4">
        <w:rPr>
          <w:b/>
          <w:bCs/>
          <w:i/>
          <w:iCs/>
          <w:sz w:val="22"/>
          <w:szCs w:val="22"/>
        </w:rPr>
        <w:t>ODSTOUPENÍ OD OBJEDNÁVKY</w:t>
      </w:r>
    </w:p>
    <w:p w14:paraId="5629A634" w14:textId="4B52B697" w:rsidR="00240916" w:rsidRPr="005A66A4" w:rsidRDefault="00240916" w:rsidP="00240916">
      <w:pPr>
        <w:pStyle w:val="Default"/>
        <w:jc w:val="both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>C</w:t>
      </w:r>
      <w:r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může před zahájením zájezdu od objednávky odstoupit jen z důvodu zrušení zájezdu nebo z důvodu porušení smluvní povinnosti zákazníkem. </w:t>
      </w:r>
    </w:p>
    <w:p w14:paraId="16DA0996" w14:textId="39E5D14B" w:rsidR="00240916" w:rsidRPr="005A66A4" w:rsidRDefault="00240916" w:rsidP="00240916">
      <w:pPr>
        <w:pStyle w:val="Default"/>
        <w:jc w:val="both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>Zákazník může kdykoli odstoupit od objednávky bez udání důvodů. V tomto případě je zákazník povinen zaplatit C</w:t>
      </w:r>
      <w:r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odstupné (stornopoplatek) ve výši níže sjednané za sebe i za každou přihlášenou osobu. </w:t>
      </w:r>
    </w:p>
    <w:p w14:paraId="45AE7A29" w14:textId="14D07EFD" w:rsidR="00240916" w:rsidRPr="005A66A4" w:rsidRDefault="00240916" w:rsidP="00240916">
      <w:pPr>
        <w:pStyle w:val="Default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>Za den odstoupení od objednávky ze strany zákazníka je považován den, kdy byla od zákazníka do C</w:t>
      </w:r>
      <w:r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písemně doručena informace o zrušení jeho účasti na objednané akci. </w:t>
      </w:r>
    </w:p>
    <w:p w14:paraId="1D031F2C" w14:textId="77777777" w:rsidR="00240916" w:rsidRPr="005A66A4" w:rsidRDefault="00240916" w:rsidP="000115B4">
      <w:pPr>
        <w:pStyle w:val="Default"/>
        <w:jc w:val="both"/>
        <w:rPr>
          <w:i/>
          <w:iCs/>
          <w:sz w:val="22"/>
          <w:szCs w:val="22"/>
        </w:rPr>
      </w:pPr>
    </w:p>
    <w:p w14:paraId="036B30B2" w14:textId="2A44C56C" w:rsidR="00C31D75" w:rsidRPr="00D32292" w:rsidRDefault="00D32292" w:rsidP="00D32292">
      <w:pPr>
        <w:pStyle w:val="Default"/>
        <w:rPr>
          <w:b/>
          <w:bCs/>
          <w:i/>
          <w:iCs/>
          <w:sz w:val="22"/>
          <w:szCs w:val="22"/>
        </w:rPr>
      </w:pPr>
      <w:r w:rsidRPr="00D32292">
        <w:rPr>
          <w:b/>
          <w:bCs/>
          <w:i/>
          <w:iCs/>
          <w:sz w:val="22"/>
          <w:szCs w:val="22"/>
        </w:rPr>
        <w:t xml:space="preserve">ODSTUPNÉ </w:t>
      </w:r>
      <w:r>
        <w:rPr>
          <w:b/>
          <w:bCs/>
          <w:i/>
          <w:iCs/>
          <w:sz w:val="22"/>
          <w:szCs w:val="22"/>
        </w:rPr>
        <w:t>–</w:t>
      </w:r>
      <w:r w:rsidRPr="00D32292">
        <w:rPr>
          <w:b/>
          <w:bCs/>
          <w:i/>
          <w:iCs/>
          <w:sz w:val="22"/>
          <w:szCs w:val="22"/>
        </w:rPr>
        <w:t xml:space="preserve"> STORNO</w:t>
      </w:r>
      <w:r>
        <w:rPr>
          <w:b/>
          <w:bCs/>
          <w:i/>
          <w:iCs/>
          <w:sz w:val="22"/>
          <w:szCs w:val="22"/>
        </w:rPr>
        <w:t xml:space="preserve"> </w:t>
      </w:r>
      <w:r w:rsidRPr="00D32292">
        <w:rPr>
          <w:b/>
          <w:bCs/>
          <w:i/>
          <w:iCs/>
          <w:sz w:val="22"/>
          <w:szCs w:val="22"/>
        </w:rPr>
        <w:t>POPLATEK</w:t>
      </w:r>
    </w:p>
    <w:p w14:paraId="65744F33" w14:textId="2B56974D" w:rsidR="00D32292" w:rsidRPr="005A66A4" w:rsidRDefault="00D32292" w:rsidP="00D32292">
      <w:pPr>
        <w:pStyle w:val="Default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>Výše odstupného (storno</w:t>
      </w:r>
      <w:r>
        <w:rPr>
          <w:i/>
          <w:iCs/>
          <w:sz w:val="22"/>
          <w:szCs w:val="22"/>
        </w:rPr>
        <w:t xml:space="preserve"> </w:t>
      </w:r>
      <w:r w:rsidRPr="005A66A4">
        <w:rPr>
          <w:i/>
          <w:iCs/>
          <w:sz w:val="22"/>
          <w:szCs w:val="22"/>
        </w:rPr>
        <w:t xml:space="preserve">poplatku) se určuje dle počtu dnů ode dne odstoupení od objednávky služby do počátku zájezdu. Výše odstupného se stanovuje ze základní ceny zájezdu snížené o slevy a činí: </w:t>
      </w:r>
    </w:p>
    <w:p w14:paraId="3A0F4227" w14:textId="77777777" w:rsidR="00D32292" w:rsidRPr="005A66A4" w:rsidRDefault="00D32292" w:rsidP="00D32292">
      <w:pPr>
        <w:pStyle w:val="Default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 xml:space="preserve">500,-Kč při zrušení účasti dříve než 90 dnů před dnem odjezdu </w:t>
      </w:r>
    </w:p>
    <w:p w14:paraId="766997D9" w14:textId="77777777" w:rsidR="00D32292" w:rsidRPr="005A66A4" w:rsidRDefault="00D32292" w:rsidP="00D32292">
      <w:pPr>
        <w:pStyle w:val="Default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 xml:space="preserve">10 % při zrušení účasti v době od 89 do 60 dnů před dnem odjezdu (minimálně však 500,-Kč) </w:t>
      </w:r>
    </w:p>
    <w:p w14:paraId="4BF35D30" w14:textId="77777777" w:rsidR="00D32292" w:rsidRPr="005A66A4" w:rsidRDefault="00D32292" w:rsidP="00D32292">
      <w:pPr>
        <w:pStyle w:val="Default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 xml:space="preserve">30 % při zrušení účasti v době od 59 do 30 dnů před dnem odjezdu </w:t>
      </w:r>
    </w:p>
    <w:p w14:paraId="524ACFEE" w14:textId="77777777" w:rsidR="00D32292" w:rsidRPr="005A66A4" w:rsidRDefault="00D32292" w:rsidP="00D32292">
      <w:pPr>
        <w:pStyle w:val="Default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 xml:space="preserve">50 % při zrušení účasti v době od 29 do 14 dnů před dnem odjezdu </w:t>
      </w:r>
    </w:p>
    <w:p w14:paraId="1B17C0F8" w14:textId="77777777" w:rsidR="00D32292" w:rsidRPr="005A66A4" w:rsidRDefault="00D32292" w:rsidP="00D32292">
      <w:pPr>
        <w:pStyle w:val="Default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 xml:space="preserve">75 % při zrušení účasti v době od 13 do 7 dnů před dnem odjezdu </w:t>
      </w:r>
    </w:p>
    <w:p w14:paraId="7952A5F5" w14:textId="77777777" w:rsidR="00D32292" w:rsidRDefault="00D32292" w:rsidP="00D32292">
      <w:pPr>
        <w:pStyle w:val="Default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 xml:space="preserve">100 % při zrušení účasti v době 6 a méně dnů před dnem odjezdu, nebo pokud se účastník nedostaví k odjezdu. </w:t>
      </w:r>
    </w:p>
    <w:p w14:paraId="2F933ED7" w14:textId="77777777" w:rsidR="00D32292" w:rsidRDefault="00D32292" w:rsidP="00D32292">
      <w:pPr>
        <w:pStyle w:val="Default"/>
        <w:rPr>
          <w:i/>
          <w:iCs/>
          <w:sz w:val="22"/>
          <w:szCs w:val="22"/>
        </w:rPr>
      </w:pPr>
    </w:p>
    <w:p w14:paraId="5CD58FAE" w14:textId="452EA08F" w:rsidR="00D32292" w:rsidRPr="005A66A4" w:rsidRDefault="00D32292" w:rsidP="00D32292">
      <w:pPr>
        <w:pStyle w:val="Default"/>
        <w:rPr>
          <w:b/>
          <w:bCs/>
          <w:i/>
          <w:iCs/>
          <w:sz w:val="22"/>
          <w:szCs w:val="22"/>
        </w:rPr>
      </w:pPr>
      <w:r w:rsidRPr="005A66A4">
        <w:rPr>
          <w:b/>
          <w:bCs/>
          <w:i/>
          <w:iCs/>
          <w:sz w:val="22"/>
          <w:szCs w:val="22"/>
        </w:rPr>
        <w:t>ODPOVĚDNOST C</w:t>
      </w:r>
      <w:r>
        <w:rPr>
          <w:b/>
          <w:bCs/>
          <w:i/>
          <w:iCs/>
          <w:sz w:val="22"/>
          <w:szCs w:val="22"/>
        </w:rPr>
        <w:t>K</w:t>
      </w:r>
      <w:r w:rsidRPr="005A66A4">
        <w:rPr>
          <w:b/>
          <w:bCs/>
          <w:i/>
          <w:iCs/>
          <w:sz w:val="22"/>
          <w:szCs w:val="22"/>
        </w:rPr>
        <w:t xml:space="preserve"> – REKLAMACE </w:t>
      </w:r>
    </w:p>
    <w:p w14:paraId="07F5E5C0" w14:textId="5BF29CE7" w:rsidR="00D32292" w:rsidRDefault="00D32292" w:rsidP="00D32292">
      <w:pPr>
        <w:pStyle w:val="Default"/>
        <w:jc w:val="both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>C</w:t>
      </w:r>
      <w:r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je povinna poskytnout zákazníkovi službu řádně a včas, v souladu s objednávkou a obecně závaznými právními předpisy. Má-li služba vady, může je zákazník vytknout u C</w:t>
      </w:r>
      <w:r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, u jejího </w:t>
      </w:r>
      <w:r>
        <w:rPr>
          <w:i/>
          <w:iCs/>
          <w:sz w:val="22"/>
          <w:szCs w:val="22"/>
        </w:rPr>
        <w:t xml:space="preserve">statutárního </w:t>
      </w:r>
      <w:r w:rsidRPr="005A66A4">
        <w:rPr>
          <w:i/>
          <w:iCs/>
          <w:sz w:val="22"/>
          <w:szCs w:val="22"/>
        </w:rPr>
        <w:t xml:space="preserve">zástupce, vedoucího akce nebo poskytovatele služeb či u osoby, která uzavření zprostředkovala, a to bez zbytečného odkladu. Zákazníkovi se doporučuje, aby tak učinil na místě vzniku vady tak, aby mohla být sjednána náprava ihned. Zákazník zároveň </w:t>
      </w:r>
      <w:proofErr w:type="gramStart"/>
      <w:r w:rsidRPr="005A66A4">
        <w:rPr>
          <w:i/>
          <w:iCs/>
          <w:sz w:val="22"/>
          <w:szCs w:val="22"/>
        </w:rPr>
        <w:t>určí</w:t>
      </w:r>
      <w:proofErr w:type="gramEnd"/>
      <w:r w:rsidRPr="005A66A4">
        <w:rPr>
          <w:i/>
          <w:iCs/>
          <w:sz w:val="22"/>
          <w:szCs w:val="22"/>
        </w:rPr>
        <w:t xml:space="preserve"> přiměřenou lhůtu k odstranění vady, ledaže C</w:t>
      </w:r>
      <w:r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odmítne vadu odstranit nebo je třeba okamžité nápravy. </w:t>
      </w:r>
    </w:p>
    <w:p w14:paraId="3BC5C39D" w14:textId="77777777" w:rsidR="00D32292" w:rsidRDefault="00D32292" w:rsidP="00D32292">
      <w:pPr>
        <w:pStyle w:val="Default"/>
        <w:jc w:val="both"/>
        <w:rPr>
          <w:i/>
          <w:iCs/>
          <w:sz w:val="22"/>
          <w:szCs w:val="22"/>
        </w:rPr>
      </w:pPr>
    </w:p>
    <w:p w14:paraId="1E58C24E" w14:textId="72908554" w:rsidR="00D32292" w:rsidRDefault="00D32292" w:rsidP="00D32292">
      <w:pPr>
        <w:pStyle w:val="Default"/>
        <w:jc w:val="both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 xml:space="preserve">Reklamaci může zákazník uplatnit ústně či písemně, popřípadě jiným vhodným způsobem. Zákazník při uplatňování reklamace uvede své jméno, příjmení, trvalé bydliště, datum, důvod a předmět reklamace, specifikaci požadavků co do důvodu a výše a dle možnosti předmět reklamace průkazně skutkově </w:t>
      </w:r>
      <w:proofErr w:type="gramStart"/>
      <w:r w:rsidRPr="005A66A4">
        <w:rPr>
          <w:i/>
          <w:iCs/>
          <w:sz w:val="22"/>
          <w:szCs w:val="22"/>
        </w:rPr>
        <w:t>doloží</w:t>
      </w:r>
      <w:proofErr w:type="gramEnd"/>
      <w:r w:rsidRPr="005A66A4">
        <w:rPr>
          <w:i/>
          <w:iCs/>
          <w:sz w:val="22"/>
          <w:szCs w:val="22"/>
        </w:rPr>
        <w:t xml:space="preserve">. </w:t>
      </w:r>
      <w:r w:rsidRPr="005A66A4">
        <w:rPr>
          <w:i/>
          <w:iCs/>
          <w:sz w:val="22"/>
          <w:szCs w:val="22"/>
        </w:rPr>
        <w:lastRenderedPageBreak/>
        <w:t>C</w:t>
      </w:r>
      <w:r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zákazníkovi doporučuje předložit doklad o poskytnuté službě a dále se doporučuje poskytnout součinnost při zjišťování vady. Za zákazníka se pro účely reklamace považuje každý účastník akce uvedený v objednávce. K uplatněné reklamaci musí být vždy vystaveno potvrzení o reklamaci (reklamační protokol), v němž musí být uvedeno, kdy zákazník reklamaci uplatnil, identifikační údaje zákazníka, co je předmětem reklamace a jaký způsob vyřízení zákazník požaduje. Jestliže zákazník předá C</w:t>
      </w:r>
      <w:r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určité písemnosti, popř. jiné podklady týkající se reklamace, musí být tato skutečnost v protokolu výslovně uvedena. Reklamační protokol podepisuje osoba, která se zákazníkem protokol sepisuje a zákazníkovi se doporučuje, aby svým podpisem na reklamačním protokolu stvrdil převzetí jeho kopie a souhlas s jeho obsahem. C</w:t>
      </w:r>
      <w:r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nebo jí pověřená osoba rozhodne o reklamaci ihned, ve složitých případech do tří pracovních dnů. Do této lhůty se nezapočítává doba přiměřená podle druhu služby potřebná k odbornému posouzení vady. Reklamace včetně odstranění vady musí být vyřízena bez zbytečného odkladu, nejpozději však do 30 dnů ode dne jejího uplatnění, pokud se C</w:t>
      </w:r>
      <w:r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se zákazníkem nedohodnou jinak. Po uplynutí této lhůty má zákazník stejná práva, jako by se jednalo o vadu, kterou nelze odstranit. Zákazníkovi se vydává potvrzení o datu a způsobu vyřízení reklamace. V případech, kdy je reklamace posouzena jako nedůvodná, je zákazník písemně informován o důvodech zamítnutí reklamace ve smyslu § 19 odst. 1 zák. o ochraně spotřebitele. Má-li služby vadu a vytkl-li ji zákazník bez zbytečného odkladu v souladu s § 2537 odst. 2 OZ má zákazník právo na slevu z ceny ve výši přiměřené rozsahu a trvání vady. </w:t>
      </w:r>
    </w:p>
    <w:p w14:paraId="508DAEAD" w14:textId="6810CC5E" w:rsidR="00D32292" w:rsidRPr="005A66A4" w:rsidRDefault="00D32292" w:rsidP="00D32292">
      <w:pPr>
        <w:pStyle w:val="Default"/>
        <w:jc w:val="both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>C</w:t>
      </w:r>
      <w:r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se může odpovědnosti za škodu způsobenou porušením právní povinnosti zprostit jen tehdy, prokáže-li, že tuto škodu nezavinila ona ani jiní dodavatelé služeb cestovního ruchu poskytovaných v rámci zájezdu a škoda byla způsobena: a) zákazníkem, b) třetí osobou, která není spojena s poskytováním akce, pokud tuto skutečnost nebylo možné předpokládat nebo nebyla nevyhnutelná, c) mimořádnou nepředvídatelnou překážkou, které nemohlo být zabráněno ani při vynaložení veškerého úsilí, které lze požadovat. </w:t>
      </w:r>
    </w:p>
    <w:p w14:paraId="6672F5CB" w14:textId="26365E71" w:rsidR="00D32292" w:rsidRPr="005A66A4" w:rsidRDefault="00D32292" w:rsidP="00D32292">
      <w:pPr>
        <w:pStyle w:val="Default"/>
        <w:jc w:val="both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>C</w:t>
      </w:r>
      <w:r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a zákazník výslovně ujednávají, že právo zákazníka na náhradu škody se promlčuje ve dvouleté promlčecí lhůtě. </w:t>
      </w:r>
    </w:p>
    <w:p w14:paraId="634C4981" w14:textId="24792D04" w:rsidR="00D32292" w:rsidRPr="005A66A4" w:rsidRDefault="00D32292" w:rsidP="00D32292">
      <w:pPr>
        <w:pStyle w:val="Default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>C</w:t>
      </w:r>
      <w:r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</w:t>
      </w:r>
      <w:proofErr w:type="gramStart"/>
      <w:r w:rsidRPr="005A66A4">
        <w:rPr>
          <w:i/>
          <w:iCs/>
          <w:sz w:val="22"/>
          <w:szCs w:val="22"/>
        </w:rPr>
        <w:t>neručí</w:t>
      </w:r>
      <w:proofErr w:type="gramEnd"/>
      <w:r w:rsidRPr="005A66A4">
        <w:rPr>
          <w:i/>
          <w:iCs/>
          <w:sz w:val="22"/>
          <w:szCs w:val="22"/>
        </w:rPr>
        <w:t xml:space="preserve"> za majetek účastníků zájezdu (včetně kol) v případě jeho poškození, ztráty či krádeže. </w:t>
      </w:r>
    </w:p>
    <w:p w14:paraId="00ACD520" w14:textId="0A39FA44" w:rsidR="00D32292" w:rsidRPr="005A66A4" w:rsidRDefault="00D32292" w:rsidP="00D32292">
      <w:pPr>
        <w:pStyle w:val="Default"/>
        <w:jc w:val="both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>C</w:t>
      </w:r>
      <w:r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 nesjednává cestovní pojištění klientů, ani jiné pojištění. Zákazník si jakékoliv pojištění sjednává sám</w:t>
      </w:r>
      <w:r>
        <w:rPr>
          <w:i/>
          <w:iCs/>
          <w:sz w:val="22"/>
          <w:szCs w:val="22"/>
        </w:rPr>
        <w:t xml:space="preserve">. </w:t>
      </w:r>
    </w:p>
    <w:p w14:paraId="1C1FE088" w14:textId="31491DE5" w:rsidR="00D32292" w:rsidRDefault="00D32292" w:rsidP="00D32292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CK upozorňuje na moznost – </w:t>
      </w:r>
      <w:r w:rsidR="00017C60">
        <w:rPr>
          <w:i/>
          <w:iCs/>
          <w:sz w:val="22"/>
          <w:szCs w:val="22"/>
        </w:rPr>
        <w:t>mimosoudního</w:t>
      </w:r>
      <w:r>
        <w:rPr>
          <w:i/>
          <w:iCs/>
          <w:sz w:val="22"/>
          <w:szCs w:val="22"/>
        </w:rPr>
        <w:t xml:space="preserve"> řešení spotřebitelských sporů – ADR.</w:t>
      </w:r>
    </w:p>
    <w:p w14:paraId="07A0CB23" w14:textId="160C2EEC" w:rsidR="00017C60" w:rsidRPr="005A66A4" w:rsidRDefault="00017C60" w:rsidP="00D32292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CK je pojištěna proti úpadku u pojišťovny Slavie. Zákazník si může z webu </w:t>
      </w:r>
      <w:hyperlink r:id="rId5" w:history="1">
        <w:r w:rsidRPr="00BE55F5">
          <w:rPr>
            <w:rStyle w:val="Hypertextovodkaz"/>
            <w:i/>
            <w:iCs/>
            <w:sz w:val="22"/>
            <w:szCs w:val="22"/>
          </w:rPr>
          <w:t>www.hakartour.cz</w:t>
        </w:r>
      </w:hyperlink>
      <w:r>
        <w:rPr>
          <w:i/>
          <w:iCs/>
          <w:sz w:val="22"/>
          <w:szCs w:val="22"/>
        </w:rPr>
        <w:t xml:space="preserve"> stáhnou kartičku pojištění a v případě problému – úpadku kontaktovat pojišťovnu dle instrukcí na kartě.</w:t>
      </w:r>
    </w:p>
    <w:p w14:paraId="4E22EA53" w14:textId="77777777" w:rsidR="00D32292" w:rsidRDefault="00D32292" w:rsidP="00D32292">
      <w:pPr>
        <w:pStyle w:val="Default"/>
        <w:jc w:val="both"/>
        <w:rPr>
          <w:i/>
          <w:iCs/>
          <w:sz w:val="22"/>
          <w:szCs w:val="22"/>
        </w:rPr>
      </w:pPr>
    </w:p>
    <w:p w14:paraId="6ECA58ED" w14:textId="77777777" w:rsidR="00017C60" w:rsidRPr="005A66A4" w:rsidRDefault="00017C60" w:rsidP="00017C60">
      <w:pPr>
        <w:pStyle w:val="Default"/>
        <w:rPr>
          <w:i/>
          <w:iCs/>
          <w:sz w:val="22"/>
          <w:szCs w:val="22"/>
        </w:rPr>
      </w:pPr>
      <w:r w:rsidRPr="005A66A4">
        <w:rPr>
          <w:b/>
          <w:bCs/>
          <w:i/>
          <w:iCs/>
          <w:sz w:val="22"/>
          <w:szCs w:val="22"/>
        </w:rPr>
        <w:t xml:space="preserve">ODPOVĚDNOST ÚČASTNÍKŮ ZÁJEZDU (ZÁKAZNÍKŮ) </w:t>
      </w:r>
    </w:p>
    <w:p w14:paraId="63C27721" w14:textId="77777777" w:rsidR="00017C60" w:rsidRPr="005A66A4" w:rsidRDefault="00017C60" w:rsidP="00017C60">
      <w:pPr>
        <w:pStyle w:val="Default"/>
        <w:jc w:val="both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 xml:space="preserve">Zákazník je zodpovědný za dodržování celních, devizových, pasových, zdravotních či epidemiologických a jiných právních předpisů zemí pobytu i tranzitu. Zákazník a všichni spolucestující musí mít platné všechny doklady pro vstup do příslušných zemí pobytu i tranzitu. Na své vlastní náklady musí splnit zdravotnické či epidemiologické povinnosti při pobytu a cestách v tuzemsku i v zahraničí (včetně testování, očkování apod.). Zákazník plně zodpovídá za následky vzniklé nedodržením těchto předpisů. </w:t>
      </w:r>
    </w:p>
    <w:p w14:paraId="366110B8" w14:textId="77777777" w:rsidR="00017C60" w:rsidRPr="005A66A4" w:rsidRDefault="00017C60" w:rsidP="00017C60">
      <w:pPr>
        <w:pStyle w:val="Default"/>
        <w:jc w:val="both"/>
        <w:rPr>
          <w:i/>
          <w:iCs/>
          <w:sz w:val="22"/>
          <w:szCs w:val="22"/>
        </w:rPr>
      </w:pPr>
    </w:p>
    <w:p w14:paraId="44CB339E" w14:textId="77777777" w:rsidR="00017C60" w:rsidRPr="005A66A4" w:rsidRDefault="00017C60" w:rsidP="00017C60">
      <w:pPr>
        <w:pStyle w:val="Default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 xml:space="preserve">Zákazník se zavazuje dodržet domluvené místo nástupu. </w:t>
      </w:r>
    </w:p>
    <w:p w14:paraId="428806E5" w14:textId="77777777" w:rsidR="00017C60" w:rsidRPr="005A66A4" w:rsidRDefault="00017C60" w:rsidP="00017C60">
      <w:pPr>
        <w:pStyle w:val="Default"/>
        <w:rPr>
          <w:i/>
          <w:iCs/>
          <w:sz w:val="22"/>
          <w:szCs w:val="22"/>
        </w:rPr>
      </w:pPr>
    </w:p>
    <w:p w14:paraId="777D5881" w14:textId="1256047E" w:rsidR="00017C60" w:rsidRPr="005A66A4" w:rsidRDefault="00017C60" w:rsidP="00017C60">
      <w:pPr>
        <w:pStyle w:val="Default"/>
        <w:jc w:val="both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>U cyklistických akcí respektovat návod k zajištění kol proti poškození dle informací poskytnutých C</w:t>
      </w:r>
      <w:r>
        <w:rPr>
          <w:i/>
          <w:iCs/>
          <w:sz w:val="22"/>
          <w:szCs w:val="22"/>
        </w:rPr>
        <w:t>K</w:t>
      </w:r>
      <w:r w:rsidRPr="005A66A4">
        <w:rPr>
          <w:i/>
          <w:iCs/>
          <w:sz w:val="22"/>
          <w:szCs w:val="22"/>
        </w:rPr>
        <w:t xml:space="preserve">. </w:t>
      </w:r>
    </w:p>
    <w:p w14:paraId="1EB93A7C" w14:textId="77777777" w:rsidR="00017C60" w:rsidRPr="005A66A4" w:rsidRDefault="00017C60" w:rsidP="00017C60">
      <w:pPr>
        <w:pStyle w:val="Default"/>
        <w:jc w:val="both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 xml:space="preserve">Pokud se akce účastní osoba mladší 18 let bez doprovodu zákonného zástupce, je nezbytné předložit souhlas zákonného zástupce/zákonných zástupců. U osob mladších 15 let pak zajistit doprovod a dohled dospělého účastníka v průběhu akce. </w:t>
      </w:r>
    </w:p>
    <w:p w14:paraId="43B2E735" w14:textId="77777777" w:rsidR="00017C60" w:rsidRDefault="00017C60" w:rsidP="00017C60">
      <w:pPr>
        <w:pStyle w:val="Default"/>
        <w:rPr>
          <w:i/>
          <w:iCs/>
          <w:sz w:val="22"/>
          <w:szCs w:val="22"/>
        </w:rPr>
      </w:pPr>
      <w:r w:rsidRPr="005A66A4">
        <w:rPr>
          <w:i/>
          <w:iCs/>
          <w:sz w:val="22"/>
          <w:szCs w:val="22"/>
        </w:rPr>
        <w:t xml:space="preserve">Zákazník se zavazuje, že se bude během zájezdu chovat v souladu s kulturními zvyklostmi navštívené země a jednat tak, aby nepoškozoval a negativně neovlivňoval přírodu a okolní prostředí. </w:t>
      </w:r>
    </w:p>
    <w:p w14:paraId="2AB67355" w14:textId="77777777" w:rsidR="00C24FFE" w:rsidRDefault="00C24FFE" w:rsidP="00017C60">
      <w:pPr>
        <w:pStyle w:val="Default"/>
        <w:rPr>
          <w:i/>
          <w:iCs/>
          <w:sz w:val="22"/>
          <w:szCs w:val="22"/>
        </w:rPr>
      </w:pPr>
    </w:p>
    <w:p w14:paraId="0A3EC3C1" w14:textId="4C1BE4AC" w:rsidR="00C24FFE" w:rsidRPr="005A66A4" w:rsidRDefault="00C24FFE" w:rsidP="00017C6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Zákazník podpisem smlouvy o zájezdu uděluje souhlas se zpracováním osobních údajů GDPR.</w:t>
      </w:r>
    </w:p>
    <w:p w14:paraId="46A6834B" w14:textId="77777777" w:rsidR="00D32292" w:rsidRPr="005A66A4" w:rsidRDefault="00D32292" w:rsidP="00D32292">
      <w:pPr>
        <w:pStyle w:val="Default"/>
        <w:jc w:val="both"/>
        <w:rPr>
          <w:i/>
          <w:iCs/>
          <w:sz w:val="22"/>
          <w:szCs w:val="22"/>
        </w:rPr>
      </w:pPr>
    </w:p>
    <w:p w14:paraId="78A69C8E" w14:textId="77777777" w:rsidR="00D32292" w:rsidRDefault="00D32292" w:rsidP="00D32292">
      <w:pPr>
        <w:pStyle w:val="Default"/>
        <w:rPr>
          <w:i/>
          <w:iCs/>
          <w:sz w:val="22"/>
          <w:szCs w:val="22"/>
        </w:rPr>
      </w:pPr>
    </w:p>
    <w:p w14:paraId="35C91FD5" w14:textId="77777777" w:rsidR="00B057D4" w:rsidRDefault="00B057D4"/>
    <w:sectPr w:rsidR="00B05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70"/>
    <w:rsid w:val="0001138A"/>
    <w:rsid w:val="000115B4"/>
    <w:rsid w:val="00017C60"/>
    <w:rsid w:val="00240916"/>
    <w:rsid w:val="0028121C"/>
    <w:rsid w:val="00724BDF"/>
    <w:rsid w:val="00914363"/>
    <w:rsid w:val="00B057D4"/>
    <w:rsid w:val="00C24FFE"/>
    <w:rsid w:val="00C25770"/>
    <w:rsid w:val="00C31D75"/>
    <w:rsid w:val="00D32292"/>
    <w:rsid w:val="00D42217"/>
    <w:rsid w:val="00ED5987"/>
    <w:rsid w:val="00FD7F00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5D9E"/>
  <w15:chartTrackingRefBased/>
  <w15:docId w15:val="{79E71099-1AA3-4A59-B38B-531A1893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C60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257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57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577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577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577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577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77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577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577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5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5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5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57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57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57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7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57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57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5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2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577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25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577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257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577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257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5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57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577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257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8121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1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kartour.cz" TargetMode="External"/><Relationship Id="rId4" Type="http://schemas.openxmlformats.org/officeDocument/2006/relationships/hyperlink" Target="http://www.hakartou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1088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GasNet s.r.o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Kareš Petr</dc:creator>
  <cp:keywords/>
  <dc:description/>
  <cp:lastModifiedBy>Kareš Petr</cp:lastModifiedBy>
  <cp:revision>13</cp:revision>
  <dcterms:created xsi:type="dcterms:W3CDTF">2025-04-25T07:58:00Z</dcterms:created>
  <dcterms:modified xsi:type="dcterms:W3CDTF">2025-04-25T12:16:00Z</dcterms:modified>
</cp:coreProperties>
</file>